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F3F" w:rsidRDefault="001D4F3F" w:rsidP="001D4F3F">
      <w:pPr>
        <w:jc w:val="center"/>
      </w:pPr>
      <w:r>
        <w:t>ABSTARCT BEDESCHI</w:t>
      </w:r>
    </w:p>
    <w:p w:rsidR="001D4F3F" w:rsidRDefault="001D4F3F" w:rsidP="001D4F3F">
      <w:pPr>
        <w:jc w:val="center"/>
      </w:pPr>
    </w:p>
    <w:p w:rsidR="001D4F3F" w:rsidRDefault="001D4F3F" w:rsidP="001D4F3F">
      <w:pPr>
        <w:jc w:val="both"/>
      </w:pPr>
      <w:r>
        <w:t xml:space="preserve">Nelle RSA di Gestite da Gruppo GHERON è stato stimato un elevato numero di ospiti </w:t>
      </w:r>
      <w:proofErr w:type="spellStart"/>
      <w:r>
        <w:t>disfagici</w:t>
      </w:r>
      <w:proofErr w:type="spellEnd"/>
      <w:r>
        <w:t> per i quali si evidenziavano sovente indici di malnutrizione.</w:t>
      </w:r>
    </w:p>
    <w:p w:rsidR="001D4F3F" w:rsidRDefault="001D4F3F" w:rsidP="001D4F3F">
      <w:pPr>
        <w:jc w:val="both"/>
      </w:pPr>
      <w:r>
        <w:t xml:space="preserve">Sono dunque state avviate diverse sperimentazioni, nel breve e nel medio periodo, di cibi a consistenza modificata, preparati da aziende specializzate, volte </w:t>
      </w:r>
      <w:r w:rsidR="00AE5BDE">
        <w:t>a</w:t>
      </w:r>
      <w:r>
        <w:t> sostituire/complementare le preparazioni delle cucine interne delle RSA.</w:t>
      </w:r>
    </w:p>
    <w:p w:rsidR="001D4F3F" w:rsidRDefault="001D4F3F" w:rsidP="001D4F3F">
      <w:pPr>
        <w:jc w:val="both"/>
      </w:pPr>
      <w:r>
        <w:t>La messa in opera è risultata vincente, grazie anche all’or</w:t>
      </w:r>
      <w:bookmarkStart w:id="0" w:name="_GoBack"/>
      <w:bookmarkEnd w:id="0"/>
      <w:r>
        <w:t>ganizzazione di eventi, formazione e degustazione per personale e famiglie.</w:t>
      </w:r>
    </w:p>
    <w:p w:rsidR="001D4F3F" w:rsidRDefault="001D4F3F" w:rsidP="001D4F3F">
      <w:pPr>
        <w:jc w:val="both"/>
      </w:pPr>
      <w:r>
        <w:t xml:space="preserve">Anche un certo numero di ospiti con demenza è stato inserito nel “progetto disfagia”, in quanto la maggior parte di questi ospiti risultano </w:t>
      </w:r>
      <w:proofErr w:type="spellStart"/>
      <w:r>
        <w:t>disfagici</w:t>
      </w:r>
      <w:proofErr w:type="spellEnd"/>
      <w:r>
        <w:t xml:space="preserve"> e malnutriti.</w:t>
      </w:r>
    </w:p>
    <w:p w:rsidR="001D4F3F" w:rsidRDefault="001D4F3F" w:rsidP="001D4F3F">
      <w:pPr>
        <w:jc w:val="both"/>
      </w:pPr>
      <w:r>
        <w:t>La sostituzione totale dell’alimentazione ha permesso di raggiungere obiettivi nutrizionali con maggiore facilità.</w:t>
      </w:r>
    </w:p>
    <w:p w:rsidR="001D4F3F" w:rsidRDefault="001D4F3F" w:rsidP="001D4F3F">
      <w:pPr>
        <w:jc w:val="both"/>
      </w:pPr>
      <w:r>
        <w:t>A distanza di un semestre, la buona scelta di pasti a consistenza modificata si sta ben adattando a risposte mirate in occasione di ospiti con fragilità cognitiva e demenza, soprattutto se in fase di instabilità.</w:t>
      </w:r>
    </w:p>
    <w:p w:rsidR="001D4F3F" w:rsidRDefault="001D4F3F" w:rsidP="001D4F3F">
      <w:pPr>
        <w:jc w:val="both"/>
      </w:pPr>
      <w:r>
        <w:t xml:space="preserve">I risultati si sono riscontrati positivi in termini di: </w:t>
      </w:r>
    </w:p>
    <w:p w:rsidR="001D4F3F" w:rsidRDefault="001D4F3F" w:rsidP="001D4F3F">
      <w:pPr>
        <w:pStyle w:val="Paragrafoelenco"/>
        <w:numPr>
          <w:ilvl w:val="0"/>
          <w:numId w:val="1"/>
        </w:numPr>
        <w:jc w:val="both"/>
      </w:pPr>
      <w:r>
        <w:t>Stabilità o recupero ponderale (quando indicato)</w:t>
      </w:r>
    </w:p>
    <w:p w:rsidR="001D4F3F" w:rsidRDefault="001D4F3F" w:rsidP="001D4F3F">
      <w:pPr>
        <w:pStyle w:val="Paragrafoelenco"/>
        <w:numPr>
          <w:ilvl w:val="0"/>
          <w:numId w:val="1"/>
        </w:numPr>
        <w:jc w:val="both"/>
      </w:pPr>
      <w:r>
        <w:t>Gradimento oggettivo: riduzione di rifiuti o avanzi</w:t>
      </w:r>
    </w:p>
    <w:p w:rsidR="001D4F3F" w:rsidRDefault="001D4F3F" w:rsidP="001D4F3F">
      <w:pPr>
        <w:pStyle w:val="Paragrafoelenco"/>
        <w:numPr>
          <w:ilvl w:val="0"/>
          <w:numId w:val="1"/>
        </w:numPr>
        <w:jc w:val="both"/>
      </w:pPr>
      <w:r>
        <w:t>Gradimento soggettivo: apprezzamento esplicito del gusto</w:t>
      </w:r>
    </w:p>
    <w:p w:rsidR="001D4F3F" w:rsidRDefault="001D4F3F" w:rsidP="001D4F3F">
      <w:pPr>
        <w:pStyle w:val="Paragrafoelenco"/>
        <w:numPr>
          <w:ilvl w:val="0"/>
          <w:numId w:val="1"/>
        </w:numPr>
        <w:jc w:val="both"/>
      </w:pPr>
      <w:r>
        <w:t xml:space="preserve">Maggiore sicurezza alimentare (ridotto rischio di </w:t>
      </w:r>
      <w:r>
        <w:rPr>
          <w:b/>
        </w:rPr>
        <w:t>soffocamento</w:t>
      </w:r>
      <w:r>
        <w:t xml:space="preserve"> e di contaminazione)</w:t>
      </w:r>
    </w:p>
    <w:p w:rsidR="001D4F3F" w:rsidRDefault="001D4F3F" w:rsidP="001D4F3F">
      <w:pPr>
        <w:pStyle w:val="Paragrafoelenco"/>
        <w:numPr>
          <w:ilvl w:val="0"/>
          <w:numId w:val="1"/>
        </w:numPr>
        <w:jc w:val="both"/>
      </w:pPr>
      <w:r>
        <w:t xml:space="preserve">Migliore </w:t>
      </w:r>
      <w:proofErr w:type="spellStart"/>
      <w:r>
        <w:t>compliance</w:t>
      </w:r>
      <w:proofErr w:type="spellEnd"/>
      <w:r>
        <w:t xml:space="preserve"> in caso di scarso interesse o difficoltà alla nutrizione (depressione, </w:t>
      </w:r>
      <w:proofErr w:type="spellStart"/>
      <w:r>
        <w:t>wandering</w:t>
      </w:r>
      <w:proofErr w:type="spellEnd"/>
      <w:r>
        <w:t>)</w:t>
      </w:r>
    </w:p>
    <w:p w:rsidR="001D4F3F" w:rsidRDefault="001D4F3F" w:rsidP="001D4F3F">
      <w:pPr>
        <w:pStyle w:val="Paragrafoelenco"/>
        <w:numPr>
          <w:ilvl w:val="0"/>
          <w:numId w:val="1"/>
        </w:numPr>
        <w:jc w:val="both"/>
      </w:pPr>
      <w:r>
        <w:t xml:space="preserve">Miglioramento di valori biochimici nutrizionali (soprattutto </w:t>
      </w:r>
      <w:proofErr w:type="spellStart"/>
      <w:r>
        <w:t>protidemia</w:t>
      </w:r>
      <w:proofErr w:type="spellEnd"/>
      <w:r>
        <w:t>) quando rilevato (basso numero di rilevazioni)</w:t>
      </w:r>
    </w:p>
    <w:p w:rsidR="001D4F3F" w:rsidRDefault="001D4F3F" w:rsidP="001D4F3F">
      <w:pPr>
        <w:pStyle w:val="Paragrafoelenco"/>
        <w:numPr>
          <w:ilvl w:val="0"/>
          <w:numId w:val="1"/>
        </w:numPr>
        <w:jc w:val="both"/>
      </w:pPr>
      <w:r>
        <w:t>Risparmio di tempo lavorativo reindirizzato verso la qualità prestazionale e la riduzione delle ore dedicate alla preparazione</w:t>
      </w:r>
    </w:p>
    <w:p w:rsidR="001D4F3F" w:rsidRDefault="001D4F3F" w:rsidP="001D4F3F">
      <w:pPr>
        <w:pStyle w:val="Paragrafoelenco"/>
        <w:numPr>
          <w:ilvl w:val="0"/>
          <w:numId w:val="1"/>
        </w:numPr>
        <w:jc w:val="both"/>
      </w:pPr>
      <w:r>
        <w:t>Sostenibilità economica (non incremento di costi)</w:t>
      </w:r>
    </w:p>
    <w:p w:rsidR="00186090" w:rsidRDefault="00186090"/>
    <w:sectPr w:rsidR="0018609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24306A"/>
    <w:multiLevelType w:val="hybridMultilevel"/>
    <w:tmpl w:val="3E30118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3F"/>
    <w:rsid w:val="00186090"/>
    <w:rsid w:val="001D4F3F"/>
    <w:rsid w:val="00AE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50C47"/>
  <w15:chartTrackingRefBased/>
  <w15:docId w15:val="{D707F411-AD56-4021-9338-EB858E514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D4F3F"/>
    <w:pPr>
      <w:spacing w:after="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D4F3F"/>
    <w:pPr>
      <w:spacing w:after="160" w:line="252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6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Bedeschi</dc:creator>
  <cp:keywords/>
  <dc:description/>
  <cp:lastModifiedBy>Ivan Bedeschi</cp:lastModifiedBy>
  <cp:revision>2</cp:revision>
  <dcterms:created xsi:type="dcterms:W3CDTF">2020-01-25T13:29:00Z</dcterms:created>
  <dcterms:modified xsi:type="dcterms:W3CDTF">2020-01-25T13:30:00Z</dcterms:modified>
</cp:coreProperties>
</file>